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2026/091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SL 99-25ö Beschaffung von Lernsystemen für das RBB RDG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Lieferleistung von drei Modellen von Lernsystemen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